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3F" w:rsidRPr="0035613F" w:rsidRDefault="0035613F" w:rsidP="0035613F">
      <w:pPr>
        <w:pStyle w:val="1"/>
        <w:rPr>
          <w:sz w:val="28"/>
          <w:szCs w:val="28"/>
        </w:rPr>
      </w:pPr>
      <w:r w:rsidRPr="0035613F">
        <w:rPr>
          <w:sz w:val="28"/>
          <w:szCs w:val="28"/>
        </w:rPr>
        <w:t>Организация профессионального развития педагогических работников ДОО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Принятие Федерального образовательного стандарта дошкольного образования и Профессионального стандарта педагога предъявляют новые требования к организации и содержанию дошкольного образования, к профессиональной квалификации педагогических работников, ставит перед ними новые, более сложные задачи. Увеличение и усложнение функций педагогических кадров в условиях перехода на стандарт дошкольного образования требуют постоянного профессионального развития педагогов.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Профессиональное развитие любого специалиста основывается на диалектическом принципе </w:t>
      </w:r>
      <w:r w:rsidRPr="0035613F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 xml:space="preserve">«от простого к более </w:t>
      </w:r>
      <w:proofErr w:type="gramStart"/>
      <w:r w:rsidRPr="0035613F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>сложному</w:t>
      </w:r>
      <w:proofErr w:type="gramEnd"/>
      <w:r w:rsidRPr="0035613F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>»</w:t>
      </w: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 Управление профессиональным развитием педагогов представляет собой систему, </w:t>
      </w: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основными подсистемами которой являются</w:t>
      </w: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деловая карьера; обучение персонала; мотивация и стимулирование; мониторинг развития и аттестация; ресурсное обеспечение профессионального развития; управление саморазвитием работника.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 МБДОУ создан работоспособный педагогический коллектив, состоящий из 9 воспитателей и 1 музыкального руководителя, 1 педагога-психолога, 1 старшего воспитателя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Уровень образования педагогов: высшее</w:t>
      </w:r>
      <w:proofErr w:type="gramStart"/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.</w:t>
      </w:r>
      <w:proofErr w:type="gramEnd"/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 ходе аналитической деятельности были сделаны следующие выводы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: коллектив </w:t>
      </w:r>
      <w:r w:rsidRPr="0035613F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 xml:space="preserve">педагогов 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достаточно стабилен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 За последние 3 года сохранялась тенденция </w:t>
      </w:r>
      <w:r w:rsidRPr="007F6032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>«омоложения»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педагогического состава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: 1 воспитатель имеет </w:t>
      </w:r>
      <w:r w:rsidRPr="0035613F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педагогический стаж менее 1 года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4 – менее 10 лет.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 ходе анализа были выявлены проблемы</w:t>
      </w: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: 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низкий уровень компетентности новых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педагогов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в вопросах нормативно – правового обеспечения ФГОС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дошкольного образования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; снижение активности части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педагогов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 – </w:t>
      </w:r>
      <w:proofErr w:type="spellStart"/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стажистов</w:t>
      </w:r>
      <w:proofErr w:type="spellEnd"/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при достаточно высоком уровне компетентности - проявление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 xml:space="preserve">профессиональной </w:t>
      </w:r>
      <w:proofErr w:type="spellStart"/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стогнации</w:t>
      </w:r>
      <w:proofErr w:type="spellEnd"/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застоя.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Для решения данных проблем спланировали систему определенных действий и мероприятий, которые направлены на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профессиональное развитие педагогов ДОУ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</w:p>
    <w:p w:rsidR="0035613F" w:rsidRPr="0035613F" w:rsidRDefault="0035613F" w:rsidP="0035613F">
      <w:pPr>
        <w:shd w:val="clear" w:color="auto" w:fill="FFFFFF"/>
        <w:spacing w:after="0" w:line="10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Наметили направления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профессионального развития педагога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: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Для достижения цели поставлены следующие задачи</w:t>
      </w:r>
      <w:r w:rsidRPr="0035613F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lang w:eastAsia="ru-RU"/>
        </w:rPr>
        <w:t>: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Повышение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уровня теоретической подготовки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педагогов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2. Организация работы по изучению и реализации новых образовательных стандартов и программ.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3. Овладение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педагогами инновационными методиками и внедрение их в педагогическую деятельность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4. Достижение более высоких результатов в воспитании, обучении и развитии детей дошкольного возраста.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5. Способствовать раскрытию творческого потенциала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педагогов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  <w:r w:rsidRPr="007F6032">
        <w:rPr>
          <w:rFonts w:ascii="Tahoma" w:eastAsia="Times New Roman" w:hAnsi="Tahoma" w:cs="Tahoma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6032">
        <w:rPr>
          <w:rFonts w:ascii="Tahoma" w:eastAsia="Times New Roman" w:hAnsi="Tahoma" w:cs="Tahoma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6032">
        <w:rPr>
          <w:rFonts w:ascii="Tahoma" w:eastAsia="Times New Roman" w:hAnsi="Tahoma" w:cs="Tahoma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Формы работы Методы и приемы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 xml:space="preserve">-дистанционное </w:t>
      </w:r>
      <w:proofErr w:type="gramStart"/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обучение по</w:t>
      </w:r>
      <w:proofErr w:type="gramEnd"/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 xml:space="preserve"> интересующей теме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-мозговой штурм;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-педагогический совет </w:t>
      </w:r>
      <w:r w:rsidRPr="007F6032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lang w:eastAsia="ru-RU"/>
        </w:rPr>
        <w:t>(традиционный / нетрадиционный)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-семинары;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Консультации;</w:t>
      </w:r>
    </w:p>
    <w:p w:rsidR="0035613F" w:rsidRPr="0035613F" w:rsidRDefault="0035613F" w:rsidP="0035613F">
      <w:pPr>
        <w:shd w:val="clear" w:color="auto" w:fill="FFFFFF"/>
        <w:spacing w:after="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Коллективный просмотр </w:t>
      </w:r>
      <w:r w:rsidRPr="007F603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педагогической деятельности</w:t>
      </w:r>
      <w:r w:rsidRPr="0035613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-дискуссии;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-деловая игра;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</w:t>
      </w:r>
      <w:proofErr w:type="spellStart"/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Вебинары</w:t>
      </w:r>
      <w:proofErr w:type="spellEnd"/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</w:t>
      </w:r>
      <w:proofErr w:type="spellStart"/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портфолио</w:t>
      </w:r>
      <w:proofErr w:type="spellEnd"/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-тренинг;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-смотры-конкурсы.</w:t>
      </w:r>
    </w:p>
    <w:p w:rsidR="0035613F" w:rsidRPr="0035613F" w:rsidRDefault="0035613F" w:rsidP="0035613F">
      <w:pPr>
        <w:shd w:val="clear" w:color="auto" w:fill="FFFFFF"/>
        <w:spacing w:before="147" w:after="147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-консультации;</w:t>
      </w:r>
    </w:p>
    <w:p w:rsidR="0035613F" w:rsidRPr="0035613F" w:rsidRDefault="0035613F" w:rsidP="0035613F">
      <w:pPr>
        <w:shd w:val="clear" w:color="auto" w:fill="FFFFFF"/>
        <w:spacing w:before="147" w:after="150" w:line="168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5613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- самоанализ</w:t>
      </w:r>
    </w:p>
    <w:p w:rsidR="007E0B7F" w:rsidRDefault="007E0B7F"/>
    <w:sectPr w:rsidR="007E0B7F" w:rsidSect="007E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5613F"/>
    <w:rsid w:val="0035613F"/>
    <w:rsid w:val="007E0B7F"/>
    <w:rsid w:val="007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7F"/>
  </w:style>
  <w:style w:type="paragraph" w:styleId="1">
    <w:name w:val="heading 1"/>
    <w:basedOn w:val="a"/>
    <w:link w:val="10"/>
    <w:uiPriority w:val="9"/>
    <w:qFormat/>
    <w:rsid w:val="00356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13F"/>
    <w:rPr>
      <w:b/>
      <w:bCs/>
    </w:rPr>
  </w:style>
  <w:style w:type="character" w:styleId="a5">
    <w:name w:val="Emphasis"/>
    <w:basedOn w:val="a0"/>
    <w:uiPriority w:val="20"/>
    <w:qFormat/>
    <w:rsid w:val="003561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89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2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38D7-04A1-46F6-B609-CF800A3E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2022-12-03T06:18:00Z</dcterms:created>
  <dcterms:modified xsi:type="dcterms:W3CDTF">2022-12-03T06:18:00Z</dcterms:modified>
</cp:coreProperties>
</file>